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E600" w14:textId="77777777" w:rsidR="007D0241" w:rsidRDefault="007559B5" w:rsidP="00870864">
      <w:pPr>
        <w:pStyle w:val="Title"/>
        <w:ind w:left="-426" w:firstLine="284"/>
        <w:rPr>
          <w:color w:val="0F243E" w:themeColor="text2" w:themeShade="80"/>
        </w:rPr>
      </w:pPr>
      <w:r>
        <w:rPr>
          <w:color w:val="0F243E" w:themeColor="text2" w:themeShade="80"/>
        </w:rPr>
        <w:t>credit</w:t>
      </w:r>
      <w:r w:rsidR="004D7739">
        <w:rPr>
          <w:color w:val="0F243E" w:themeColor="text2" w:themeShade="80"/>
        </w:rPr>
        <w:t xml:space="preserve"> POLICY</w:t>
      </w:r>
    </w:p>
    <w:p w14:paraId="6DED8B34" w14:textId="77777777" w:rsidR="007D0241" w:rsidRDefault="00CC24D4">
      <w:pPr>
        <w:pStyle w:val="Heading1"/>
      </w:pPr>
      <w:r>
        <w:t>POLICY</w:t>
      </w:r>
    </w:p>
    <w:p w14:paraId="4D0237CF" w14:textId="77777777" w:rsidR="007559B5" w:rsidRDefault="007559B5" w:rsidP="00870864">
      <w:pPr>
        <w:spacing w:after="0" w:line="240" w:lineRule="auto"/>
        <w:ind w:right="-421"/>
        <w:rPr>
          <w:rFonts w:cs="Arial"/>
          <w:sz w:val="20"/>
          <w:szCs w:val="20"/>
        </w:rPr>
      </w:pPr>
      <w:r w:rsidRPr="00870864">
        <w:rPr>
          <w:rFonts w:cs="Arial"/>
          <w:sz w:val="20"/>
          <w:szCs w:val="20"/>
        </w:rPr>
        <w:t>The credit policy and procedure of MBA Group Training Limited ACN 130 865 253 (</w:t>
      </w:r>
      <w:r w:rsidRPr="00870864">
        <w:rPr>
          <w:rFonts w:cs="Arial"/>
          <w:b/>
          <w:sz w:val="20"/>
          <w:szCs w:val="20"/>
        </w:rPr>
        <w:t>MBA GT</w:t>
      </w:r>
      <w:r w:rsidRPr="00870864">
        <w:rPr>
          <w:rFonts w:cs="Arial"/>
          <w:sz w:val="20"/>
          <w:szCs w:val="20"/>
        </w:rPr>
        <w:t>) is outlined below.</w:t>
      </w:r>
    </w:p>
    <w:p w14:paraId="6923EC05" w14:textId="77777777" w:rsidR="0041214A" w:rsidRDefault="0041214A" w:rsidP="0041214A">
      <w:pPr>
        <w:pStyle w:val="ListParagraph"/>
        <w:spacing w:before="0" w:after="0" w:line="240" w:lineRule="auto"/>
        <w:ind w:left="0"/>
        <w:rPr>
          <w:rFonts w:cs="Arial"/>
          <w:sz w:val="20"/>
          <w:szCs w:val="20"/>
        </w:rPr>
      </w:pPr>
    </w:p>
    <w:p w14:paraId="22226445" w14:textId="77777777" w:rsidR="0041214A" w:rsidRPr="00870864" w:rsidRDefault="0041214A" w:rsidP="0041214A">
      <w:pPr>
        <w:pStyle w:val="ListParagraph"/>
        <w:spacing w:before="0" w:after="0" w:line="240" w:lineRule="auto"/>
        <w:ind w:left="0"/>
        <w:rPr>
          <w:rFonts w:cs="Arial"/>
          <w:sz w:val="20"/>
          <w:szCs w:val="20"/>
        </w:rPr>
      </w:pPr>
      <w:r w:rsidRPr="00870864">
        <w:rPr>
          <w:rFonts w:cs="Arial"/>
          <w:sz w:val="20"/>
          <w:szCs w:val="20"/>
        </w:rPr>
        <w:t>Credit will be offered at the complete discretion of the management of MBA Group Training Limited.</w:t>
      </w:r>
      <w:r>
        <w:rPr>
          <w:rFonts w:cs="Arial"/>
          <w:sz w:val="20"/>
          <w:szCs w:val="20"/>
        </w:rPr>
        <w:t xml:space="preserve">  </w:t>
      </w:r>
      <w:r w:rsidRPr="00870864">
        <w:rPr>
          <w:rFonts w:cs="Arial"/>
          <w:sz w:val="20"/>
          <w:szCs w:val="20"/>
        </w:rPr>
        <w:t xml:space="preserve">Where credit is to exceed $20,000.00 approval will need to be sort from the </w:t>
      </w:r>
      <w:r w:rsidR="00A53959">
        <w:rPr>
          <w:rFonts w:cs="Arial"/>
          <w:sz w:val="20"/>
          <w:szCs w:val="20"/>
        </w:rPr>
        <w:t>Chief Executive Officer</w:t>
      </w:r>
      <w:r w:rsidRPr="00870864">
        <w:rPr>
          <w:rFonts w:cs="Arial"/>
          <w:sz w:val="20"/>
          <w:szCs w:val="20"/>
        </w:rPr>
        <w:t xml:space="preserve"> in other cases credit is to be approved by the </w:t>
      </w:r>
      <w:r w:rsidR="00A53959">
        <w:rPr>
          <w:rFonts w:cs="Arial"/>
          <w:sz w:val="20"/>
          <w:szCs w:val="20"/>
        </w:rPr>
        <w:t>Commercial Director</w:t>
      </w:r>
      <w:r w:rsidRPr="00870864">
        <w:rPr>
          <w:rFonts w:cs="Arial"/>
          <w:sz w:val="20"/>
          <w:szCs w:val="20"/>
        </w:rPr>
        <w:t xml:space="preserve"> of Group Training.</w:t>
      </w:r>
    </w:p>
    <w:p w14:paraId="1C6D667D" w14:textId="77777777" w:rsidR="00CC24D4" w:rsidRDefault="00CC24D4" w:rsidP="007559B5">
      <w:pPr>
        <w:pStyle w:val="Heading1"/>
        <w:spacing w:after="240"/>
      </w:pPr>
      <w:r>
        <w:t>PROCEDURE</w:t>
      </w:r>
    </w:p>
    <w:p w14:paraId="2C017E76" w14:textId="77777777" w:rsidR="007559B5" w:rsidRPr="00870864" w:rsidRDefault="007559B5" w:rsidP="0041214A">
      <w:pPr>
        <w:pStyle w:val="Heading2"/>
        <w:spacing w:after="240"/>
        <w:rPr>
          <w:sz w:val="20"/>
          <w:szCs w:val="20"/>
        </w:rPr>
      </w:pPr>
      <w:r w:rsidRPr="00870864">
        <w:rPr>
          <w:sz w:val="20"/>
          <w:szCs w:val="20"/>
        </w:rPr>
        <w:t>Where credit is being provided in relation to training courses the following is to occur:</w:t>
      </w:r>
    </w:p>
    <w:p w14:paraId="505D3F6C" w14:textId="77777777" w:rsidR="007559B5" w:rsidRPr="00870864" w:rsidRDefault="007559B5" w:rsidP="00870864">
      <w:pPr>
        <w:numPr>
          <w:ilvl w:val="0"/>
          <w:numId w:val="7"/>
        </w:numPr>
        <w:spacing w:before="0" w:line="240" w:lineRule="auto"/>
        <w:rPr>
          <w:rFonts w:cs="Arial"/>
          <w:sz w:val="20"/>
          <w:szCs w:val="20"/>
        </w:rPr>
      </w:pPr>
      <w:r w:rsidRPr="00870864">
        <w:rPr>
          <w:rFonts w:cs="Arial"/>
          <w:sz w:val="20"/>
          <w:szCs w:val="20"/>
        </w:rPr>
        <w:t xml:space="preserve">MBA GT will raise an invoice prior to the date of the training.  </w:t>
      </w:r>
    </w:p>
    <w:p w14:paraId="2456E1CF" w14:textId="77777777" w:rsidR="007559B5" w:rsidRPr="00870864" w:rsidRDefault="007559B5" w:rsidP="00870864">
      <w:pPr>
        <w:numPr>
          <w:ilvl w:val="0"/>
          <w:numId w:val="7"/>
        </w:numPr>
        <w:spacing w:before="0" w:line="240" w:lineRule="auto"/>
        <w:rPr>
          <w:rFonts w:cs="Arial"/>
          <w:sz w:val="20"/>
          <w:szCs w:val="20"/>
        </w:rPr>
      </w:pPr>
      <w:r w:rsidRPr="00870864">
        <w:rPr>
          <w:rFonts w:cs="Arial"/>
          <w:sz w:val="20"/>
          <w:szCs w:val="20"/>
        </w:rPr>
        <w:t xml:space="preserve">Terms of payment are 14 days from the date of the invoice.  Exceptions can only be made by prior arrangement with MBA GT management.  If an account remains unpaid after 14 days and no arrangement has been made, legal action for recovery of monies owed will be taken.  </w:t>
      </w:r>
    </w:p>
    <w:p w14:paraId="3421984B" w14:textId="77777777" w:rsidR="007559B5" w:rsidRPr="00870864" w:rsidRDefault="007559B5" w:rsidP="00870864">
      <w:pPr>
        <w:numPr>
          <w:ilvl w:val="0"/>
          <w:numId w:val="7"/>
        </w:numPr>
        <w:spacing w:before="0" w:line="240" w:lineRule="auto"/>
        <w:rPr>
          <w:rFonts w:cs="Arial"/>
          <w:sz w:val="20"/>
          <w:szCs w:val="20"/>
        </w:rPr>
      </w:pPr>
      <w:r w:rsidRPr="00870864">
        <w:rPr>
          <w:rFonts w:cs="Arial"/>
          <w:sz w:val="20"/>
          <w:szCs w:val="20"/>
        </w:rPr>
        <w:t>Where an account query exists, the employer must pay all amounts (including any portion of a queried invoice) which are not in dispute.</w:t>
      </w:r>
    </w:p>
    <w:p w14:paraId="07DC43C6" w14:textId="77777777" w:rsidR="007559B5" w:rsidRPr="00870864" w:rsidRDefault="007559B5" w:rsidP="00870864">
      <w:pPr>
        <w:numPr>
          <w:ilvl w:val="0"/>
          <w:numId w:val="7"/>
        </w:numPr>
        <w:spacing w:before="0" w:line="240" w:lineRule="auto"/>
        <w:rPr>
          <w:rFonts w:cs="Arial"/>
          <w:sz w:val="20"/>
          <w:szCs w:val="20"/>
        </w:rPr>
      </w:pPr>
      <w:r w:rsidRPr="00870864">
        <w:rPr>
          <w:rFonts w:cs="Arial"/>
          <w:sz w:val="20"/>
          <w:szCs w:val="20"/>
        </w:rPr>
        <w:t xml:space="preserve">If there is a failure to pay any invoice within 14 days of the date of the invoice, interest </w:t>
      </w:r>
      <w:r w:rsidR="00870864" w:rsidRPr="00870864">
        <w:rPr>
          <w:rFonts w:cs="Arial"/>
          <w:sz w:val="20"/>
          <w:szCs w:val="20"/>
        </w:rPr>
        <w:t>can</w:t>
      </w:r>
      <w:r w:rsidRPr="00870864">
        <w:rPr>
          <w:rFonts w:cs="Arial"/>
          <w:sz w:val="20"/>
          <w:szCs w:val="20"/>
        </w:rPr>
        <w:t xml:space="preserve"> be payable at 12% per annum (or such other rate as we determine from time to time) on the outstanding amount from the date of invoice until we receive payment in full.</w:t>
      </w:r>
    </w:p>
    <w:p w14:paraId="2820C432" w14:textId="77777777" w:rsidR="007559B5" w:rsidRPr="00870864" w:rsidRDefault="007559B5" w:rsidP="00870864">
      <w:pPr>
        <w:numPr>
          <w:ilvl w:val="0"/>
          <w:numId w:val="7"/>
        </w:numPr>
        <w:spacing w:before="0" w:line="240" w:lineRule="auto"/>
        <w:rPr>
          <w:rFonts w:cs="Arial"/>
          <w:sz w:val="20"/>
          <w:szCs w:val="20"/>
        </w:rPr>
      </w:pPr>
      <w:r w:rsidRPr="00870864">
        <w:rPr>
          <w:rFonts w:cs="Arial"/>
          <w:sz w:val="20"/>
          <w:szCs w:val="20"/>
        </w:rPr>
        <w:t>No qualifications will be issued in relation to the training attended until all outstanding amounts are paid in full.</w:t>
      </w:r>
    </w:p>
    <w:p w14:paraId="0C136DA9" w14:textId="77777777" w:rsidR="007559B5" w:rsidRPr="00870864" w:rsidRDefault="007559B5" w:rsidP="007559B5">
      <w:pPr>
        <w:numPr>
          <w:ilvl w:val="0"/>
          <w:numId w:val="7"/>
        </w:numPr>
        <w:spacing w:before="0" w:after="0" w:line="240" w:lineRule="auto"/>
        <w:rPr>
          <w:rFonts w:cs="Arial"/>
          <w:sz w:val="20"/>
          <w:szCs w:val="20"/>
        </w:rPr>
      </w:pPr>
      <w:r w:rsidRPr="00870864">
        <w:rPr>
          <w:rFonts w:cs="Arial"/>
          <w:sz w:val="20"/>
          <w:szCs w:val="20"/>
        </w:rPr>
        <w:t>Liability for the payment of the training amounts is subject to the MBA Group Training cancellation policy whereby training attendants will be liable for training costs where insufficient notice of cancellation is provided.</w:t>
      </w:r>
    </w:p>
    <w:p w14:paraId="6062A869" w14:textId="77777777" w:rsidR="007559B5" w:rsidRPr="00870864" w:rsidRDefault="007559B5" w:rsidP="0041214A">
      <w:pPr>
        <w:pStyle w:val="Heading2"/>
        <w:spacing w:after="240"/>
        <w:rPr>
          <w:sz w:val="20"/>
          <w:szCs w:val="20"/>
        </w:rPr>
      </w:pPr>
      <w:r w:rsidRPr="00870864">
        <w:rPr>
          <w:sz w:val="20"/>
          <w:szCs w:val="20"/>
        </w:rPr>
        <w:t>Where credit is being provided in relation to the placement of an apprentice the following is to occur:</w:t>
      </w:r>
    </w:p>
    <w:p w14:paraId="43E3B0F1" w14:textId="77777777" w:rsidR="007559B5" w:rsidRPr="00870864" w:rsidRDefault="007559B5" w:rsidP="00870864">
      <w:pPr>
        <w:numPr>
          <w:ilvl w:val="0"/>
          <w:numId w:val="8"/>
        </w:numPr>
        <w:spacing w:before="0" w:line="240" w:lineRule="auto"/>
        <w:rPr>
          <w:rFonts w:cs="Arial"/>
          <w:sz w:val="20"/>
          <w:szCs w:val="20"/>
        </w:rPr>
      </w:pPr>
      <w:r w:rsidRPr="00870864">
        <w:rPr>
          <w:rFonts w:cs="Arial"/>
          <w:sz w:val="20"/>
          <w:szCs w:val="20"/>
        </w:rPr>
        <w:t xml:space="preserve">MBA GT will raise an invoice for week ending the Monday on the Wednesday.  </w:t>
      </w:r>
    </w:p>
    <w:p w14:paraId="1107DD81" w14:textId="77777777" w:rsidR="007559B5" w:rsidRPr="00870864" w:rsidRDefault="007559B5" w:rsidP="00870864">
      <w:pPr>
        <w:numPr>
          <w:ilvl w:val="0"/>
          <w:numId w:val="8"/>
        </w:numPr>
        <w:spacing w:before="0" w:line="240" w:lineRule="auto"/>
        <w:rPr>
          <w:rFonts w:cs="Arial"/>
          <w:sz w:val="20"/>
          <w:szCs w:val="20"/>
        </w:rPr>
      </w:pPr>
      <w:r w:rsidRPr="00870864">
        <w:rPr>
          <w:rFonts w:cs="Arial"/>
          <w:sz w:val="20"/>
          <w:szCs w:val="20"/>
        </w:rPr>
        <w:t xml:space="preserve">Terms of payment are strictly 14 days from the date of the invoice.  Exceptions can only be made by prior arrangement with MBA GT management.  If an account remains unpaid after 14 days and no arrangement has been made, legal action for recovery of monies owed will be taken.  </w:t>
      </w:r>
    </w:p>
    <w:p w14:paraId="75C94A11" w14:textId="77777777" w:rsidR="007559B5" w:rsidRPr="00870864" w:rsidRDefault="007559B5" w:rsidP="00870864">
      <w:pPr>
        <w:numPr>
          <w:ilvl w:val="0"/>
          <w:numId w:val="8"/>
        </w:numPr>
        <w:spacing w:before="0" w:line="240" w:lineRule="auto"/>
        <w:rPr>
          <w:rFonts w:cs="Arial"/>
          <w:sz w:val="20"/>
          <w:szCs w:val="20"/>
        </w:rPr>
      </w:pPr>
      <w:r w:rsidRPr="00870864">
        <w:rPr>
          <w:rFonts w:cs="Arial"/>
          <w:sz w:val="20"/>
          <w:szCs w:val="20"/>
        </w:rPr>
        <w:t>Where an account query exists, the employer must pay all amounts (including any portion of a queried invoice) which are not in dispute.</w:t>
      </w:r>
    </w:p>
    <w:p w14:paraId="462B74D2" w14:textId="197FDCC8" w:rsidR="007559B5" w:rsidRDefault="007559B5" w:rsidP="007559B5">
      <w:pPr>
        <w:numPr>
          <w:ilvl w:val="0"/>
          <w:numId w:val="8"/>
        </w:numPr>
        <w:spacing w:before="0" w:after="0" w:line="240" w:lineRule="auto"/>
        <w:rPr>
          <w:rFonts w:cs="Arial"/>
          <w:sz w:val="20"/>
          <w:szCs w:val="20"/>
        </w:rPr>
      </w:pPr>
      <w:r w:rsidRPr="00870864">
        <w:rPr>
          <w:rFonts w:cs="Arial"/>
          <w:sz w:val="20"/>
          <w:szCs w:val="20"/>
        </w:rPr>
        <w:t xml:space="preserve">If there is a failure to pay any invoice within 14 days of the date of the invoice, interest </w:t>
      </w:r>
      <w:r w:rsidR="00870864" w:rsidRPr="00870864">
        <w:rPr>
          <w:rFonts w:cs="Arial"/>
          <w:sz w:val="20"/>
          <w:szCs w:val="20"/>
        </w:rPr>
        <w:t>can</w:t>
      </w:r>
      <w:r w:rsidRPr="00870864">
        <w:rPr>
          <w:rFonts w:cs="Arial"/>
          <w:sz w:val="20"/>
          <w:szCs w:val="20"/>
        </w:rPr>
        <w:t xml:space="preserve"> be payable at 12% per annum (or such other rate as we determine from time to time) on the outstanding amount from the date of invoice until we receive payment in full.</w:t>
      </w:r>
    </w:p>
    <w:tbl>
      <w:tblPr>
        <w:tblStyle w:val="TableGrid"/>
        <w:tblW w:w="0" w:type="auto"/>
        <w:tblLook w:val="04A0" w:firstRow="1" w:lastRow="0" w:firstColumn="1" w:lastColumn="0" w:noHBand="0" w:noVBand="1"/>
      </w:tblPr>
      <w:tblGrid>
        <w:gridCol w:w="9350"/>
      </w:tblGrid>
      <w:tr w:rsidR="00B70B24" w:rsidRPr="00AD7AB6" w14:paraId="2081AED9" w14:textId="77777777" w:rsidTr="00306BFD">
        <w:tc>
          <w:tcPr>
            <w:tcW w:w="9350" w:type="dxa"/>
          </w:tcPr>
          <w:p w14:paraId="58A7181A" w14:textId="41F1C097" w:rsidR="00B70B24" w:rsidRDefault="00B70B24" w:rsidP="00306BFD">
            <w:pPr>
              <w:rPr>
                <w:b/>
                <w:color w:val="A6A6A6" w:themeColor="background1" w:themeShade="A6"/>
              </w:rPr>
            </w:pPr>
            <w:r w:rsidRPr="00AD7AB6">
              <w:rPr>
                <w:b/>
                <w:color w:val="A6A6A6" w:themeColor="background1" w:themeShade="A6"/>
              </w:rPr>
              <w:lastRenderedPageBreak/>
              <w:t>Responsibility</w:t>
            </w:r>
            <w:r>
              <w:rPr>
                <w:b/>
                <w:color w:val="A6A6A6" w:themeColor="background1" w:themeShade="A6"/>
              </w:rPr>
              <w:t>: Commercial Director</w:t>
            </w:r>
          </w:p>
          <w:p w14:paraId="1D548E5D" w14:textId="77777777" w:rsidR="00B70B24" w:rsidRDefault="00B70B24" w:rsidP="00306BFD">
            <w:pPr>
              <w:rPr>
                <w:b/>
                <w:color w:val="A6A6A6" w:themeColor="background1" w:themeShade="A6"/>
              </w:rPr>
            </w:pPr>
            <w:r>
              <w:rPr>
                <w:b/>
                <w:color w:val="A6A6A6" w:themeColor="background1" w:themeShade="A6"/>
              </w:rPr>
              <w:t>Approved: Oct 2020</w:t>
            </w:r>
          </w:p>
          <w:p w14:paraId="4FE6555C" w14:textId="77777777" w:rsidR="00B70B24" w:rsidRDefault="00B70B24" w:rsidP="00306BFD">
            <w:pPr>
              <w:rPr>
                <w:b/>
                <w:color w:val="A6A6A6" w:themeColor="background1" w:themeShade="A6"/>
              </w:rPr>
            </w:pPr>
          </w:p>
          <w:p w14:paraId="52658084" w14:textId="77777777" w:rsidR="00B70B24" w:rsidRDefault="00B70B24" w:rsidP="00306BFD">
            <w:pPr>
              <w:rPr>
                <w:b/>
                <w:color w:val="A6A6A6" w:themeColor="background1" w:themeShade="A6"/>
              </w:rPr>
            </w:pPr>
            <w:r>
              <w:rPr>
                <w:noProof/>
              </w:rPr>
              <w:drawing>
                <wp:anchor distT="0" distB="0" distL="114300" distR="114300" simplePos="0" relativeHeight="251659264" behindDoc="0" locked="0" layoutInCell="1" allowOverlap="1" wp14:anchorId="2A1D8E3B" wp14:editId="4AE62747">
                  <wp:simplePos x="0" y="0"/>
                  <wp:positionH relativeFrom="column">
                    <wp:posOffset>-1905</wp:posOffset>
                  </wp:positionH>
                  <wp:positionV relativeFrom="paragraph">
                    <wp:posOffset>124460</wp:posOffset>
                  </wp:positionV>
                  <wp:extent cx="815340" cy="5835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1B00167B" w14:textId="77777777" w:rsidR="00B70B24" w:rsidRDefault="00B70B24" w:rsidP="00306BFD">
            <w:pPr>
              <w:rPr>
                <w:b/>
                <w:color w:val="A6A6A6" w:themeColor="background1" w:themeShade="A6"/>
              </w:rPr>
            </w:pPr>
          </w:p>
          <w:p w14:paraId="6D6B2DF2" w14:textId="77777777" w:rsidR="00B70B24" w:rsidRDefault="00B70B24" w:rsidP="00306BFD">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43CE7EC5" w14:textId="77777777" w:rsidR="00B70B24" w:rsidRDefault="00B70B24" w:rsidP="00306BFD">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63E22E18" w14:textId="77777777" w:rsidR="00B70B24" w:rsidRDefault="00B70B24" w:rsidP="00306BFD">
            <w:pPr>
              <w:rPr>
                <w:b/>
                <w:color w:val="A6A6A6" w:themeColor="background1" w:themeShade="A6"/>
              </w:rPr>
            </w:pPr>
          </w:p>
          <w:p w14:paraId="770F4973" w14:textId="77777777" w:rsidR="00B70B24" w:rsidRPr="00AD7AB6" w:rsidRDefault="00B70B24" w:rsidP="00306BFD">
            <w:pPr>
              <w:rPr>
                <w:b/>
                <w:color w:val="A6A6A6" w:themeColor="background1" w:themeShade="A6"/>
              </w:rPr>
            </w:pPr>
          </w:p>
        </w:tc>
      </w:tr>
    </w:tbl>
    <w:p w14:paraId="5945A757" w14:textId="77777777" w:rsidR="00B70B24" w:rsidRPr="00870864" w:rsidRDefault="00B70B24" w:rsidP="00B70B24">
      <w:pPr>
        <w:spacing w:before="0" w:after="0" w:line="240" w:lineRule="auto"/>
        <w:rPr>
          <w:rFonts w:cs="Arial"/>
          <w:sz w:val="20"/>
          <w:szCs w:val="20"/>
        </w:rPr>
      </w:pPr>
    </w:p>
    <w:sectPr w:rsidR="00B70B24" w:rsidRPr="00870864" w:rsidSect="007B55D7">
      <w:headerReference w:type="default" r:id="rId10"/>
      <w:footerReference w:type="default" r:id="rId11"/>
      <w:pgSz w:w="12240" w:h="15840"/>
      <w:pgMar w:top="525" w:right="1440"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B221" w14:textId="77777777" w:rsidR="00CC24D4" w:rsidRDefault="00CC24D4">
      <w:pPr>
        <w:spacing w:after="0" w:line="240" w:lineRule="auto"/>
      </w:pPr>
      <w:r>
        <w:separator/>
      </w:r>
    </w:p>
  </w:endnote>
  <w:endnote w:type="continuationSeparator" w:id="0">
    <w:p w14:paraId="6E6901E7" w14:textId="77777777" w:rsidR="00CC24D4" w:rsidRDefault="00C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898" w14:textId="0385C898" w:rsidR="007B55D7" w:rsidRDefault="00936903" w:rsidP="007B55D7">
    <w:pPr>
      <w:pStyle w:val="Footer"/>
      <w:jc w:val="right"/>
      <w:rPr>
        <w:color w:val="A6A6A6" w:themeColor="background1" w:themeShade="A6"/>
        <w:lang w:val="en-AU"/>
      </w:rPr>
    </w:pPr>
    <w:r>
      <w:rPr>
        <w:color w:val="A6A6A6" w:themeColor="background1" w:themeShade="A6"/>
        <w:lang w:val="en-AU"/>
      </w:rPr>
      <w:t>POL</w:t>
    </w:r>
    <w:r w:rsidR="007B55D7">
      <w:rPr>
        <w:color w:val="A6A6A6" w:themeColor="background1" w:themeShade="A6"/>
        <w:lang w:val="en-AU"/>
      </w:rPr>
      <w:t>02</w:t>
    </w:r>
    <w:r w:rsidR="0041214A">
      <w:rPr>
        <w:color w:val="A6A6A6" w:themeColor="background1" w:themeShade="A6"/>
        <w:lang w:val="en-AU"/>
      </w:rPr>
      <w:t>0</w:t>
    </w:r>
    <w:r w:rsidR="007B55D7">
      <w:rPr>
        <w:color w:val="A6A6A6" w:themeColor="background1" w:themeShade="A6"/>
        <w:lang w:val="en-AU"/>
      </w:rPr>
      <w:t xml:space="preserve"> –</w:t>
    </w:r>
    <w:r w:rsidR="007B55D7" w:rsidRPr="007B55D7">
      <w:rPr>
        <w:color w:val="A6A6A6" w:themeColor="background1" w:themeShade="A6"/>
        <w:lang w:val="en-AU"/>
      </w:rPr>
      <w:t xml:space="preserve"> </w:t>
    </w:r>
    <w:r w:rsidR="00A53959">
      <w:rPr>
        <w:color w:val="A6A6A6" w:themeColor="background1" w:themeShade="A6"/>
        <w:lang w:val="en-AU"/>
      </w:rPr>
      <w:t>Credit Policy – V</w:t>
    </w:r>
    <w:r w:rsidR="00DC6697">
      <w:rPr>
        <w:color w:val="A6A6A6" w:themeColor="background1" w:themeShade="A6"/>
        <w:lang w:val="en-AU"/>
      </w:rPr>
      <w:t>3.1 Sep 20</w:t>
    </w:r>
    <w:r w:rsidR="007B55D7">
      <w:rPr>
        <w:color w:val="A6A6A6" w:themeColor="background1" w:themeShade="A6"/>
        <w:lang w:val="en-AU"/>
      </w:rPr>
      <w:t xml:space="preserve"> </w:t>
    </w:r>
  </w:p>
  <w:p w14:paraId="47C0DDE5" w14:textId="55D629D8" w:rsidR="007B55D7" w:rsidRDefault="007B55D7" w:rsidP="007B55D7">
    <w:pPr>
      <w:pStyle w:val="Footer"/>
      <w:jc w:val="right"/>
      <w:rPr>
        <w:color w:val="A6A6A6" w:themeColor="background1" w:themeShade="A6"/>
        <w:lang w:val="en-AU"/>
      </w:rPr>
    </w:pPr>
    <w:r>
      <w:rPr>
        <w:color w:val="A6A6A6" w:themeColor="background1" w:themeShade="A6"/>
        <w:lang w:val="en-AU"/>
      </w:rPr>
      <w:t xml:space="preserve">To be reviewed </w:t>
    </w:r>
    <w:r w:rsidR="00A53959">
      <w:rPr>
        <w:color w:val="A6A6A6" w:themeColor="background1" w:themeShade="A6"/>
        <w:lang w:val="en-AU"/>
      </w:rPr>
      <w:t>–</w:t>
    </w:r>
    <w:r>
      <w:rPr>
        <w:color w:val="A6A6A6" w:themeColor="background1" w:themeShade="A6"/>
        <w:lang w:val="en-AU"/>
      </w:rPr>
      <w:t xml:space="preserve"> </w:t>
    </w:r>
    <w:r w:rsidR="00DC6697">
      <w:rPr>
        <w:color w:val="A6A6A6" w:themeColor="background1" w:themeShade="A6"/>
        <w:lang w:val="en-AU"/>
      </w:rPr>
      <w:t>Feb  2021</w:t>
    </w:r>
  </w:p>
  <w:p w14:paraId="4D0D6964" w14:textId="77777777" w:rsidR="00AD7AB6" w:rsidRPr="00AD7AB6" w:rsidRDefault="007B55D7" w:rsidP="007B55D7">
    <w:pPr>
      <w:pStyle w:val="Footer"/>
      <w:jc w:val="right"/>
      <w:rPr>
        <w:color w:val="A6A6A6" w:themeColor="background1" w:themeShade="A6"/>
        <w:lang w:val="en-AU"/>
      </w:rPr>
    </w:pPr>
    <w:r>
      <w:rPr>
        <w:color w:val="A6A6A6" w:themeColor="background1" w:themeShade="A6"/>
        <w:lang w:val="en-AU"/>
      </w:rPr>
      <w:t>This document is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85DE" w14:textId="77777777" w:rsidR="00CC24D4" w:rsidRDefault="00CC24D4">
      <w:pPr>
        <w:spacing w:after="0" w:line="240" w:lineRule="auto"/>
      </w:pPr>
      <w:r>
        <w:separator/>
      </w:r>
    </w:p>
  </w:footnote>
  <w:footnote w:type="continuationSeparator" w:id="0">
    <w:p w14:paraId="331E86D3" w14:textId="77777777" w:rsidR="00CC24D4" w:rsidRDefault="00CC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68DE" w14:textId="77777777" w:rsidR="00CC24D4" w:rsidRDefault="00CC24D4" w:rsidP="00CC24D4">
    <w:pPr>
      <w:pStyle w:val="Header"/>
      <w:jc w:val="right"/>
    </w:pPr>
    <w:r>
      <w:rPr>
        <w:noProof/>
        <w:lang w:val="en-AU" w:eastAsia="en-AU"/>
      </w:rPr>
      <w:drawing>
        <wp:inline distT="0" distB="0" distL="0" distR="0" wp14:anchorId="085A42F8" wp14:editId="09C7CAD6">
          <wp:extent cx="716280" cy="566999"/>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443" cy="582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5FD0"/>
    <w:multiLevelType w:val="hybridMultilevel"/>
    <w:tmpl w:val="A44EF860"/>
    <w:lvl w:ilvl="0" w:tplc="2878D0C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364BB"/>
    <w:multiLevelType w:val="hybridMultilevel"/>
    <w:tmpl w:val="A44EF860"/>
    <w:lvl w:ilvl="0" w:tplc="2878D0C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414EC1"/>
    <w:multiLevelType w:val="hybridMultilevel"/>
    <w:tmpl w:val="A44EF860"/>
    <w:lvl w:ilvl="0" w:tplc="2878D0C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C5582"/>
    <w:multiLevelType w:val="hybridMultilevel"/>
    <w:tmpl w:val="3A066A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41214A"/>
    <w:rsid w:val="004D7739"/>
    <w:rsid w:val="007559B5"/>
    <w:rsid w:val="0078018B"/>
    <w:rsid w:val="007B55D7"/>
    <w:rsid w:val="007D0241"/>
    <w:rsid w:val="00870864"/>
    <w:rsid w:val="00913643"/>
    <w:rsid w:val="00936903"/>
    <w:rsid w:val="00A53959"/>
    <w:rsid w:val="00AD7AB6"/>
    <w:rsid w:val="00AF24B1"/>
    <w:rsid w:val="00B70B24"/>
    <w:rsid w:val="00CC24D4"/>
    <w:rsid w:val="00DC6697"/>
    <w:rsid w:val="00ED3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0F4719"/>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A539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308629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21DA929-737D-42C7-B8E0-F50CF5FE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7</cp:revision>
  <cp:lastPrinted>2017-12-18T02:58:00Z</cp:lastPrinted>
  <dcterms:created xsi:type="dcterms:W3CDTF">2016-05-13T04:19:00Z</dcterms:created>
  <dcterms:modified xsi:type="dcterms:W3CDTF">2020-10-21T22:56:00Z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